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B9" w:rsidRDefault="00D151B9" w:rsidP="00D151B9">
      <w:pPr>
        <w:spacing w:after="0" w:line="240" w:lineRule="auto"/>
        <w:ind w:firstLine="708"/>
        <w:jc w:val="right"/>
        <w:rPr>
          <w:rFonts w:eastAsia="Times New Roman"/>
          <w:b/>
          <w:bCs/>
          <w:sz w:val="28"/>
          <w:szCs w:val="28"/>
          <w:lang w:eastAsia="ru-RU"/>
        </w:rPr>
      </w:pPr>
      <w:r w:rsidRPr="00D151B9">
        <w:rPr>
          <w:rFonts w:eastAsia="Times New Roman"/>
          <w:bCs/>
          <w:sz w:val="28"/>
          <w:szCs w:val="28"/>
          <w:lang w:eastAsia="ru-RU"/>
        </w:rPr>
        <w:t>Додаток</w:t>
      </w:r>
      <w:r w:rsidRPr="00D151B9">
        <w:rPr>
          <w:rFonts w:eastAsia="Times New Roman"/>
          <w:bCs/>
          <w:sz w:val="28"/>
          <w:szCs w:val="28"/>
          <w:lang w:eastAsia="ru-RU"/>
        </w:rPr>
        <w:br/>
        <w:t>до листа Міністерства</w:t>
      </w:r>
      <w:r w:rsidRPr="00D151B9">
        <w:rPr>
          <w:rFonts w:eastAsia="Times New Roman"/>
          <w:bCs/>
          <w:sz w:val="28"/>
          <w:szCs w:val="28"/>
          <w:lang w:eastAsia="ru-RU"/>
        </w:rPr>
        <w:br/>
        <w:t>освіти і науки України</w:t>
      </w:r>
      <w:r w:rsidRPr="00D151B9">
        <w:rPr>
          <w:rFonts w:eastAsia="Times New Roman"/>
          <w:b/>
          <w:bCs/>
          <w:sz w:val="28"/>
          <w:szCs w:val="28"/>
          <w:lang w:eastAsia="ru-RU"/>
        </w:rPr>
        <w:br/>
      </w:r>
      <w:hyperlink r:id="rId4" w:history="1">
        <w:r w:rsidRPr="00D151B9">
          <w:rPr>
            <w:rStyle w:val="a4"/>
            <w:rFonts w:eastAsia="Times New Roman"/>
            <w:b/>
            <w:bCs/>
            <w:sz w:val="28"/>
            <w:szCs w:val="28"/>
            <w:lang w:eastAsia="ru-RU"/>
          </w:rPr>
          <w:t>від  03. 07. 2018 р. № 1/9-415</w:t>
        </w:r>
      </w:hyperlink>
    </w:p>
    <w:p w:rsidR="00D151B9" w:rsidRDefault="00D151B9" w:rsidP="00D151B9">
      <w:pPr>
        <w:spacing w:after="0" w:line="240" w:lineRule="auto"/>
        <w:ind w:firstLine="708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D151B9" w:rsidRPr="00D151B9" w:rsidRDefault="00D151B9" w:rsidP="00D151B9">
      <w:pPr>
        <w:spacing w:after="0" w:line="240" w:lineRule="auto"/>
        <w:ind w:firstLine="708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r w:rsidRPr="00D151B9">
        <w:rPr>
          <w:rFonts w:eastAsia="Times New Roman"/>
          <w:b/>
          <w:bCs/>
          <w:sz w:val="28"/>
          <w:szCs w:val="28"/>
          <w:lang w:eastAsia="ru-RU"/>
        </w:rPr>
        <w:t>Методичні рекомендації щодо викладання </w:t>
      </w:r>
    </w:p>
    <w:p w:rsidR="00D151B9" w:rsidRPr="00D151B9" w:rsidRDefault="00D151B9" w:rsidP="00D151B9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</w:t>
      </w:r>
      <w:r w:rsidRPr="00D151B9">
        <w:rPr>
          <w:rFonts w:eastAsia="Times New Roman"/>
          <w:b/>
          <w:sz w:val="28"/>
          <w:szCs w:val="28"/>
          <w:lang w:eastAsia="ru-RU"/>
        </w:rPr>
        <w:t>світн</w:t>
      </w:r>
      <w:r>
        <w:rPr>
          <w:rFonts w:eastAsia="Times New Roman"/>
          <w:b/>
          <w:sz w:val="28"/>
          <w:szCs w:val="28"/>
          <w:lang w:eastAsia="ru-RU"/>
        </w:rPr>
        <w:t>ьої</w:t>
      </w:r>
      <w:r w:rsidRPr="00D151B9">
        <w:rPr>
          <w:rFonts w:eastAsia="Times New Roman"/>
          <w:b/>
          <w:sz w:val="28"/>
          <w:szCs w:val="28"/>
          <w:lang w:eastAsia="ru-RU"/>
        </w:rPr>
        <w:t xml:space="preserve"> галуз</w:t>
      </w:r>
      <w:r>
        <w:rPr>
          <w:rFonts w:eastAsia="Times New Roman"/>
          <w:b/>
          <w:sz w:val="28"/>
          <w:szCs w:val="28"/>
          <w:lang w:eastAsia="ru-RU"/>
        </w:rPr>
        <w:t>і</w:t>
      </w:r>
      <w:r w:rsidRPr="00D151B9">
        <w:rPr>
          <w:rFonts w:eastAsia="Times New Roman"/>
          <w:b/>
          <w:sz w:val="28"/>
          <w:szCs w:val="28"/>
          <w:lang w:eastAsia="ru-RU"/>
        </w:rPr>
        <w:t xml:space="preserve"> «Природознавство»</w:t>
      </w:r>
      <w:bookmarkEnd w:id="0"/>
      <w:r>
        <w:rPr>
          <w:rFonts w:eastAsia="Times New Roman"/>
          <w:b/>
          <w:sz w:val="28"/>
          <w:szCs w:val="28"/>
          <w:lang w:eastAsia="ru-RU"/>
        </w:rPr>
        <w:t xml:space="preserve"> у 2018/2019 навчальному році</w:t>
      </w:r>
    </w:p>
    <w:p w:rsidR="00D151B9" w:rsidRPr="00D151B9" w:rsidRDefault="00D151B9" w:rsidP="00D151B9">
      <w:pPr>
        <w:spacing w:after="0" w:line="240" w:lineRule="auto"/>
        <w:ind w:right="392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Законом України «Про освіту», прийнятим 5 вересня 2017 року, визначено мету повної загальної середньої освіти - це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Досягнення цієї мети забезпечується шляхом формування ключових </w:t>
      </w:r>
      <w:proofErr w:type="spellStart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компетентностей</w:t>
      </w:r>
      <w:proofErr w:type="spellEnd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, необхідних кожній сучасній людині для успішної життєдіяльності серед яких компетентність у галузі природничих наук, техніки і технологій, екологічна компетентність, компетентності, пов’язані з ідеями здорового способу життя.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Ця мета в загальній середній освіті найбільш ефективно може бути реалізована навчальними предметами освітньої галузі «Природознавство», оскільки метою цієї галузі 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є формування в учнів природничо-наукової компетентності як базової та відповідних предметних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як обов’язкової складової загальної культури особистості і розвитку її творчого потенціалу. Загальними  змістовими лініями галузі є</w:t>
      </w:r>
      <w:bookmarkStart w:id="1" w:name="n176"/>
      <w:bookmarkEnd w:id="1"/>
      <w:r w:rsidRPr="00D151B9">
        <w:rPr>
          <w:rFonts w:eastAsia="Times New Roman"/>
          <w:color w:val="000000"/>
          <w:sz w:val="28"/>
          <w:szCs w:val="28"/>
          <w:lang w:eastAsia="uk-UA"/>
        </w:rPr>
        <w:t>: закони і закономірності природи;</w:t>
      </w:r>
      <w:bookmarkStart w:id="2" w:name="n177"/>
      <w:bookmarkEnd w:id="2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методи наукового пізнання, специфічні для кожної з природничих наук;</w:t>
      </w:r>
      <w:bookmarkStart w:id="3" w:name="n178"/>
      <w:bookmarkEnd w:id="3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екологічні основи ставлення до природокористування;</w:t>
      </w:r>
      <w:bookmarkStart w:id="4" w:name="n179"/>
      <w:bookmarkEnd w:id="4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екологічна етика;</w:t>
      </w:r>
      <w:bookmarkStart w:id="5" w:name="n180"/>
      <w:bookmarkEnd w:id="5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значення природничо-наукових знань у житті людини та їх роль у суспільному розвитку</w:t>
      </w:r>
      <w:bookmarkStart w:id="6" w:name="n181"/>
      <w:bookmarkEnd w:id="6"/>
      <w:r w:rsidRPr="00D151B9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У 2018 році Україна вперше брала участь у </w:t>
      </w:r>
      <w:r w:rsidRPr="00D151B9">
        <w:rPr>
          <w:rFonts w:eastAsia="Times New Roman"/>
          <w:b/>
          <w:i/>
          <w:color w:val="000000"/>
          <w:sz w:val="28"/>
          <w:szCs w:val="28"/>
          <w:lang w:eastAsia="uk-UA"/>
        </w:rPr>
        <w:t>Програмі міжнародного оцінювання учнів  PISA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, одним із аспектів якого є оцінка природничо-наукової грамотності, яка  передбачає уміння  пояснювати наукові явища, робити обґрунтовані висновки про них, усвідомлювати вплив науки і технологій на зміну матеріального, інтелектуального й культурного середовищ.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Виконуючи завдання дослідження PISA учні мають продемонструвати свої компетенції у певному аспекті, а саме: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        пояснювати природні явища з наукової точки зору, застосовувати методи природничо-наукових досліджень, інтерпретувати дані та використовувати наукові докази для отримання висновків;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розуміти основні факти, ідеї та теорії (знання про природу і технології); знати про методи отримання наукових знань (знання процедур), розуміти обґрунтованість цих методів та їх використання (методологічні знання);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проявляти інтерес до науки і технологій; розуміти цінність наукового пізнання; бути обізнаними щодо проблем довкілля та усвідомлювати важливість їх вирішення; усвідомлювати, як наука і технології змінюють 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lastRenderedPageBreak/>
        <w:t>наше матеріальне, інтелектуальне та культурне середовище; прагнути залучитися до галузей, пов’язаних з наукою (ставлення до науки).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Завдання, які використовуються в дослідженні PISA, засновані на оцінюванні спроможності учнів застосовувати набуті знання в незвичному контексті та використовувати знання й уміння, отримані в школі, для вирішення можливих життєвих ситуацій. 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Детальну інформацію про PISA – рамкові матеріали, зразки завдань попередніх циклів тощо – розміщено на офіційному сайті Програми в Україні: </w:t>
      </w:r>
      <w:hyperlink r:id="rId5" w:tgtFrame="_blank" w:history="1">
        <w:r w:rsidRPr="00D151B9">
          <w:rPr>
            <w:rFonts w:eastAsia="Times New Roman"/>
            <w:color w:val="000000"/>
            <w:sz w:val="28"/>
            <w:szCs w:val="28"/>
            <w:lang w:eastAsia="uk-UA"/>
          </w:rPr>
          <w:t>pisa.testportal.gov.ua</w:t>
        </w:r>
      </w:hyperlink>
      <w:r w:rsidRPr="00D151B9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Рекомендуємо опрацювати Програму міжнародного оцінювання учнів PISA: вимірювання природничої грамотності, посібник «PISA: природничо-наукова грамотність», які  розміщено на порталі в рубриці «Матеріали/Публікації».</w:t>
      </w:r>
      <w:hyperlink r:id="rId6" w:history="1">
        <w:r w:rsidRPr="00D151B9">
          <w:rPr>
            <w:rFonts w:eastAsia="Times New Roman"/>
            <w:color w:val="000000"/>
            <w:sz w:val="28"/>
            <w:szCs w:val="28"/>
            <w:lang w:eastAsia="uk-UA"/>
          </w:rPr>
          <w:t xml:space="preserve"> </w:t>
        </w:r>
      </w:hyperlink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bookmarkStart w:id="7" w:name="_Hlk517090728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Реформування загальної середньої освіти передбачає модернізацію змісту освіти, що має ґрунтуватися на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компетентнісному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та особистісно орієнтованому підходах до навчання, а найголовніше – 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</w:t>
      </w:r>
      <w:bookmarkEnd w:id="7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. Особливого значення набуває формування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особистості, її здатності до творчого нестандартного мислення, вміння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конструктивно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вирішувати життєві ситуації, що визначає конкурентоспроможність особистості у сучасних економічних умовах. Тому створення умов для розвитку </w:t>
      </w:r>
      <w:r w:rsidRPr="00D151B9">
        <w:rPr>
          <w:rFonts w:eastAsia="Times New Roman"/>
          <w:b/>
          <w:i/>
          <w:color w:val="000000"/>
          <w:sz w:val="28"/>
          <w:szCs w:val="28"/>
          <w:lang w:eastAsia="uk-UA"/>
        </w:rPr>
        <w:t>SТЕМ-освіти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є пріоритетним напрямком модернізації освітньої галузі.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Акронім STEM (від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англ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Science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–  наука,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Technology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– технології,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Engineering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– інженерія, 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Mathematics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– математика) визначає характерні риси відповідної дидактики, сутність якої виявляється в поєднанні міждисциплінарних практик орієнтованих підходів до вивчення природничо-математичних дисциплін.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Головна мета STEM-освіти полягає в реалізації державної політики з урахуванням нових вимог Закону України «Про освіту», Нової української школи  щодо посилення розвитку науково-технічного напряму в навчально-методичній діяльності на всіх освітніх рівнях; створенні науково-методичної бази для підвищення творчого потенціалу молоді та професійної компетентності науково-педагогічних працівників.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Особливою формою STEM-навчання є інтегровані уроки/заняття, що спрямовані на встановлення міжпредметних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зв’язків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, які сприяють формуванню в учнів цілісного, системного світогляду, актуалізації особистісного ставлення до питань, що розглядаються на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уроці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1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Одним із ефективних засобів формування 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 є дослідно-проектна діяльність. Виконання освітніх проектів передбачає інтегровану дослідницьку, творчу діяльність учнів, спрямовану на отримання самостійних результатів під керівництвом учителя. У процесі вивчення різних тем окремі діти або групи упродовж певного часу розробляють навчальні проекти. Учитель здійснює управління такою діяльністю і спонукає до пошукової діяльності вихованців, допомагає у визначенні мети, завдань навчального проекту, орієнтовних методів/прийомів дослідницької діяльності та пошуку </w:t>
      </w:r>
      <w:r w:rsidRPr="00D151B9">
        <w:rPr>
          <w:rFonts w:eastAsia="Times New Roman"/>
          <w:color w:val="000000"/>
          <w:sz w:val="28"/>
          <w:szCs w:val="28"/>
          <w:lang w:eastAsia="uk-UA"/>
        </w:rPr>
        <w:lastRenderedPageBreak/>
        <w:t xml:space="preserve">інформації для розв’язання окремих навчально-пізнавальних завдань. Учні самостійно або разом із учителем обирають форму презентації, захисту отриманих результатів. Оцінювання проектної діяльності здійснюється індивідуально, за довільною системою. 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1"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Для якісного та ефективного проведення інтегрованих уроків, навчальних досліджень, проектних робіт педагоги та їх вихованці можуть скористатися ресурсною базою міжпредметного лабораторного комплексу Національного центру «Мала академія наук України» «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МАНЛаб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>» [</w:t>
      </w:r>
      <w:hyperlink r:id="rId7" w:history="1">
        <w:r w:rsidRPr="00D151B9">
          <w:rPr>
            <w:rFonts w:eastAsia="Times New Roman"/>
            <w:color w:val="000000"/>
            <w:sz w:val="28"/>
            <w:szCs w:val="28"/>
            <w:lang w:eastAsia="uk-UA"/>
          </w:rPr>
          <w:t>http://manlab.inhost.com.ua</w:t>
        </w:r>
      </w:hyperlink>
      <w:r w:rsidRPr="00D151B9">
        <w:rPr>
          <w:rFonts w:eastAsia="Times New Roman"/>
          <w:color w:val="000000"/>
          <w:sz w:val="28"/>
          <w:szCs w:val="28"/>
          <w:lang w:eastAsia="uk-UA"/>
        </w:rPr>
        <w:t xml:space="preserve">;   </w:t>
      </w:r>
      <w:hyperlink r:id="rId8" w:history="1">
        <w:r w:rsidRPr="00D151B9">
          <w:rPr>
            <w:rFonts w:eastAsia="Times New Roman"/>
            <w:color w:val="000000"/>
            <w:sz w:val="28"/>
            <w:szCs w:val="28"/>
            <w:lang w:eastAsia="uk-UA"/>
          </w:rPr>
          <w:t>http://stemua.science</w:t>
        </w:r>
      </w:hyperlink>
      <w:r w:rsidRPr="00D151B9">
        <w:rPr>
          <w:rFonts w:eastAsia="Times New Roman"/>
          <w:color w:val="000000"/>
          <w:sz w:val="28"/>
          <w:szCs w:val="28"/>
          <w:lang w:eastAsia="uk-UA"/>
        </w:rPr>
        <w:t>].</w:t>
      </w:r>
    </w:p>
    <w:p w:rsidR="00D151B9" w:rsidRPr="00D151B9" w:rsidRDefault="00D151B9" w:rsidP="00D151B9">
      <w:pPr>
        <w:shd w:val="clear" w:color="auto" w:fill="FFFFFF"/>
        <w:spacing w:after="0" w:line="240" w:lineRule="auto"/>
        <w:ind w:right="391" w:firstLine="709"/>
        <w:jc w:val="both"/>
        <w:textAlignment w:val="baseline"/>
        <w:rPr>
          <w:rFonts w:eastAsia="Times New Roman"/>
          <w:sz w:val="28"/>
          <w:szCs w:val="28"/>
          <w:lang w:eastAsia="uk-UA"/>
        </w:rPr>
      </w:pPr>
      <w:r w:rsidRPr="00D151B9">
        <w:rPr>
          <w:rFonts w:eastAsia="Times New Roman"/>
          <w:color w:val="000000"/>
          <w:sz w:val="28"/>
          <w:szCs w:val="28"/>
          <w:lang w:eastAsia="uk-UA"/>
        </w:rPr>
        <w:t>Потужним засобом заохочувального відбору молоді, яка згодом зможе реалізувати себе в науково-технічній сфері, є участь у заходах за підтримки Міністерства освіти і науки України, наприклад: змаганнях з робототехніки «DRON», «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Robotika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>», «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Роботрафік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>», з моделювання «розумних» пристроїв «STEAM-</w:t>
      </w:r>
      <w:proofErr w:type="spellStart"/>
      <w:r w:rsidRPr="00D151B9">
        <w:rPr>
          <w:rFonts w:eastAsia="Times New Roman"/>
          <w:color w:val="000000"/>
          <w:sz w:val="28"/>
          <w:szCs w:val="28"/>
          <w:lang w:eastAsia="uk-UA"/>
        </w:rPr>
        <w:t>House</w:t>
      </w:r>
      <w:proofErr w:type="spellEnd"/>
      <w:r w:rsidRPr="00D151B9">
        <w:rPr>
          <w:rFonts w:eastAsia="Times New Roman"/>
          <w:color w:val="000000"/>
          <w:sz w:val="28"/>
          <w:szCs w:val="28"/>
          <w:lang w:eastAsia="uk-UA"/>
        </w:rPr>
        <w:t>», Всеукраїнські інтерактивні конкурси «МАН-Юніор Дослідник» і «МАН-Юніор Ерудит», науково-технічна виставка-конкурс</w:t>
      </w:r>
      <w:r w:rsidRPr="00D151B9">
        <w:rPr>
          <w:rFonts w:eastAsia="Times New Roman"/>
          <w:sz w:val="28"/>
          <w:szCs w:val="28"/>
          <w:lang w:eastAsia="uk-UA"/>
        </w:rPr>
        <w:t xml:space="preserve"> молодіжних інноваційних проектів «Майбутнє України», міжнародний науково-пізнавальний марафон «День комети», Всеукраїнська </w:t>
      </w:r>
      <w:r w:rsidRPr="00D151B9">
        <w:rPr>
          <w:rFonts w:eastAsia="Times New Roman"/>
          <w:bCs/>
          <w:kern w:val="36"/>
          <w:sz w:val="28"/>
          <w:szCs w:val="28"/>
          <w:lang w:eastAsia="uk-UA"/>
        </w:rPr>
        <w:t>конференція-конкурс науково-дослідних робіт школярів «Зоряний шлях»</w:t>
      </w:r>
      <w:r w:rsidRPr="00D151B9">
        <w:rPr>
          <w:rFonts w:eastAsia="Times New Roman"/>
          <w:sz w:val="28"/>
          <w:szCs w:val="28"/>
          <w:lang w:eastAsia="uk-UA"/>
        </w:rPr>
        <w:t xml:space="preserve"> </w:t>
      </w:r>
      <w:r w:rsidRPr="00D151B9">
        <w:rPr>
          <w:rFonts w:eastAsia="Times New Roman"/>
          <w:bCs/>
          <w:sz w:val="28"/>
          <w:szCs w:val="28"/>
          <w:lang w:eastAsia="uk-UA"/>
        </w:rPr>
        <w:t>тощо. Більш детальну інформацію про порядок, терміни проведення заходів можна дізнатися</w:t>
      </w:r>
      <w:r w:rsidRPr="00D151B9">
        <w:rPr>
          <w:rFonts w:eastAsia="Times New Roman"/>
          <w:sz w:val="28"/>
          <w:szCs w:val="28"/>
          <w:lang w:eastAsia="uk-UA"/>
        </w:rPr>
        <w:t xml:space="preserve"> на веб-сайті Міністерства освіти і науки України (</w:t>
      </w:r>
      <w:hyperlink r:id="rId9" w:history="1">
        <w:r w:rsidRPr="00D151B9">
          <w:rPr>
            <w:rFonts w:eastAsia="Times New Roman"/>
            <w:color w:val="0000FF"/>
            <w:sz w:val="28"/>
            <w:u w:val="single"/>
            <w:lang w:eastAsia="uk-UA"/>
          </w:rPr>
          <w:t>www.mon.gov.ua</w:t>
        </w:r>
      </w:hyperlink>
      <w:r w:rsidRPr="00D151B9">
        <w:rPr>
          <w:rFonts w:eastAsia="Times New Roman"/>
          <w:sz w:val="28"/>
          <w:szCs w:val="28"/>
          <w:lang w:eastAsia="uk-UA"/>
        </w:rPr>
        <w:t>), ДНУ «Інститут модернізації змісту освіти» (</w:t>
      </w:r>
      <w:hyperlink r:id="rId10" w:history="1">
        <w:r w:rsidRPr="00D151B9">
          <w:rPr>
            <w:rFonts w:eastAsia="Times New Roman"/>
            <w:color w:val="0000FF"/>
            <w:sz w:val="28"/>
            <w:u w:val="single"/>
            <w:lang w:eastAsia="uk-UA"/>
          </w:rPr>
          <w:t>www.imzo.gov.ua</w:t>
        </w:r>
      </w:hyperlink>
      <w:r w:rsidRPr="00D151B9">
        <w:rPr>
          <w:rFonts w:eastAsia="Times New Roman"/>
          <w:sz w:val="28"/>
          <w:szCs w:val="28"/>
          <w:lang w:eastAsia="uk-UA"/>
        </w:rPr>
        <w:t xml:space="preserve">) та безпосередньо на однойменних сайтах заходів. </w:t>
      </w:r>
    </w:p>
    <w:p w:rsidR="00D151B9" w:rsidRPr="00D151B9" w:rsidRDefault="00D151B9" w:rsidP="00D151B9">
      <w:pPr>
        <w:spacing w:after="0" w:line="240" w:lineRule="auto"/>
        <w:ind w:right="391"/>
        <w:jc w:val="both"/>
        <w:rPr>
          <w:rFonts w:eastAsia="Times New Roman"/>
          <w:sz w:val="28"/>
          <w:szCs w:val="28"/>
          <w:lang w:eastAsia="ru-RU"/>
        </w:rPr>
      </w:pPr>
      <w:r w:rsidRPr="00D151B9">
        <w:rPr>
          <w:rFonts w:eastAsia="Times New Roman"/>
          <w:sz w:val="28"/>
          <w:szCs w:val="28"/>
          <w:lang w:eastAsia="ru-RU"/>
        </w:rPr>
        <w:t xml:space="preserve"> </w:t>
      </w:r>
      <w:r w:rsidRPr="00D151B9">
        <w:rPr>
          <w:rFonts w:eastAsia="Times New Roman"/>
          <w:sz w:val="28"/>
          <w:szCs w:val="28"/>
          <w:lang w:eastAsia="ru-RU"/>
        </w:rPr>
        <w:tab/>
        <w:t xml:space="preserve">Розвитку професійної компетентності педагогічних працівників буде сприяти участь у різнопланових заходах регіонального, всеукраїнського, міжнародного рівнів: науково-практичні конференції, семінари, </w:t>
      </w:r>
      <w:proofErr w:type="spellStart"/>
      <w:r w:rsidRPr="00D151B9">
        <w:rPr>
          <w:rFonts w:eastAsia="Times New Roman"/>
          <w:sz w:val="28"/>
          <w:szCs w:val="28"/>
          <w:lang w:eastAsia="ru-RU"/>
        </w:rPr>
        <w:t>вебінари</w:t>
      </w:r>
      <w:proofErr w:type="spellEnd"/>
      <w:r w:rsidRPr="00D151B9">
        <w:rPr>
          <w:rFonts w:eastAsia="Times New Roman"/>
          <w:sz w:val="28"/>
          <w:szCs w:val="28"/>
          <w:lang w:eastAsia="ru-RU"/>
        </w:rPr>
        <w:t xml:space="preserve">, STEM-фестивалі, конкурси, дистанційне та очне навчання у STEM-школі тощо. </w:t>
      </w:r>
    </w:p>
    <w:p w:rsidR="00D151B9" w:rsidRPr="00D151B9" w:rsidRDefault="00D151B9" w:rsidP="00D151B9">
      <w:pPr>
        <w:spacing w:after="0" w:line="240" w:lineRule="auto"/>
        <w:ind w:right="392"/>
        <w:jc w:val="both"/>
        <w:rPr>
          <w:rFonts w:eastAsia="Times New Roman"/>
          <w:sz w:val="28"/>
          <w:szCs w:val="28"/>
          <w:lang w:eastAsia="ru-RU"/>
        </w:rPr>
      </w:pPr>
      <w:r w:rsidRPr="00D151B9">
        <w:rPr>
          <w:rFonts w:eastAsia="Times New Roman"/>
          <w:sz w:val="28"/>
          <w:szCs w:val="28"/>
          <w:lang w:eastAsia="ru-RU"/>
        </w:rPr>
        <w:t>Інформацію про події з питань організації навчання за напрямами та проблематикою STEM-освіти, які проводить Міністерство освіти і науки України, ДНУ «Інститут модернізації змісту освіти», безпосередньо відділ STEM-освіти у 2018/2019 навчальному році педагогічні працівники можуть отримувати з офіційних сайтів установ.</w:t>
      </w:r>
    </w:p>
    <w:p w:rsidR="00D151B9" w:rsidRPr="00D151B9" w:rsidRDefault="00D151B9" w:rsidP="00D151B9">
      <w:pPr>
        <w:spacing w:after="0" w:line="240" w:lineRule="auto"/>
        <w:ind w:right="391" w:firstLine="708"/>
        <w:jc w:val="both"/>
        <w:rPr>
          <w:rFonts w:eastAsia="Times New Roman"/>
          <w:sz w:val="28"/>
          <w:szCs w:val="28"/>
          <w:lang w:eastAsia="ru-RU"/>
        </w:rPr>
      </w:pPr>
      <w:r w:rsidRPr="00D151B9">
        <w:rPr>
          <w:rFonts w:eastAsia="Times New Roman"/>
          <w:sz w:val="28"/>
          <w:szCs w:val="28"/>
          <w:lang w:eastAsia="ru-RU"/>
        </w:rPr>
        <w:t>З метою підвищення фахової ерудованості педагоги мають можливість взяти участь у Всеукраїнських конкурсах/змаганнях: Інтернет – конкурси: «</w:t>
      </w:r>
      <w:proofErr w:type="spellStart"/>
      <w:r w:rsidRPr="00D151B9">
        <w:rPr>
          <w:rFonts w:eastAsia="Times New Roman"/>
          <w:sz w:val="28"/>
          <w:szCs w:val="28"/>
          <w:lang w:eastAsia="ru-RU"/>
        </w:rPr>
        <w:t>Геліантус</w:t>
      </w:r>
      <w:proofErr w:type="spellEnd"/>
      <w:r w:rsidRPr="00D151B9">
        <w:rPr>
          <w:rFonts w:eastAsia="Times New Roman"/>
          <w:sz w:val="28"/>
          <w:szCs w:val="28"/>
          <w:lang w:eastAsia="ru-RU"/>
        </w:rPr>
        <w:t xml:space="preserve"> – учитель»,  «Учитель року» за версією науково-популярного природничого журналу «Колосок», «Наука на сцені», у конкурсі на здобуття премії «</w:t>
      </w:r>
      <w:proofErr w:type="spellStart"/>
      <w:r w:rsidRPr="00D151B9">
        <w:rPr>
          <w:rFonts w:eastAsia="Times New Roman"/>
          <w:sz w:val="28"/>
          <w:szCs w:val="28"/>
          <w:lang w:eastAsia="ru-RU"/>
        </w:rPr>
        <w:t>GlobalTeacherPrizeUkraine</w:t>
      </w:r>
      <w:proofErr w:type="spellEnd"/>
      <w:r w:rsidRPr="00D151B9">
        <w:rPr>
          <w:rFonts w:eastAsia="Times New Roman"/>
          <w:sz w:val="28"/>
          <w:szCs w:val="28"/>
          <w:lang w:eastAsia="ru-RU"/>
        </w:rPr>
        <w:t>»  та інших.</w:t>
      </w:r>
    </w:p>
    <w:p w:rsidR="00D151B9" w:rsidRPr="00D151B9" w:rsidRDefault="00D151B9" w:rsidP="00D151B9">
      <w:pPr>
        <w:spacing w:after="0" w:line="240" w:lineRule="auto"/>
        <w:ind w:right="392"/>
        <w:jc w:val="both"/>
        <w:rPr>
          <w:rFonts w:eastAsia="Times New Roman"/>
          <w:sz w:val="28"/>
          <w:szCs w:val="28"/>
          <w:lang w:eastAsia="ru-RU"/>
        </w:rPr>
      </w:pPr>
      <w:r w:rsidRPr="00D151B9">
        <w:rPr>
          <w:rFonts w:eastAsia="Times New Roman"/>
          <w:sz w:val="28"/>
          <w:szCs w:val="28"/>
          <w:lang w:eastAsia="ru-RU"/>
        </w:rPr>
        <w:t xml:space="preserve"> </w:t>
      </w:r>
      <w:r w:rsidRPr="00D151B9">
        <w:rPr>
          <w:rFonts w:eastAsia="Times New Roman"/>
          <w:sz w:val="28"/>
          <w:szCs w:val="28"/>
          <w:lang w:eastAsia="ru-RU"/>
        </w:rPr>
        <w:tab/>
        <w:t>Зміст освітньої галузі «Природознавство» структурно представлений в таких компонентах: загально-природничий, астрономічний, біологічний, географічний, фізичний, хімічний, екологічний. У таблиці показано, як реалізується зміст освітньої галузі «Природознавство» за навчальними предметами у 2018/2019 навчальному році.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199"/>
        <w:gridCol w:w="1300"/>
        <w:gridCol w:w="1276"/>
        <w:gridCol w:w="1276"/>
        <w:gridCol w:w="850"/>
        <w:gridCol w:w="833"/>
        <w:gridCol w:w="18"/>
        <w:gridCol w:w="1099"/>
      </w:tblGrid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</w:rPr>
            </w:pPr>
            <w:proofErr w:type="spellStart"/>
            <w:r w:rsidRPr="00D151B9">
              <w:rPr>
                <w:b/>
              </w:rPr>
              <w:t>Клас</w:t>
            </w:r>
            <w:proofErr w:type="spellEnd"/>
          </w:p>
        </w:tc>
        <w:tc>
          <w:tcPr>
            <w:tcW w:w="8851" w:type="dxa"/>
            <w:gridSpan w:val="8"/>
          </w:tcPr>
          <w:p w:rsidR="00D151B9" w:rsidRPr="00D151B9" w:rsidRDefault="00D151B9" w:rsidP="00D151B9">
            <w:pPr>
              <w:jc w:val="center"/>
              <w:rPr>
                <w:b/>
              </w:rPr>
            </w:pPr>
            <w:proofErr w:type="spellStart"/>
            <w:r w:rsidRPr="00D151B9">
              <w:rPr>
                <w:b/>
              </w:rPr>
              <w:t>Навчальні</w:t>
            </w:r>
            <w:proofErr w:type="spellEnd"/>
            <w:r w:rsidRPr="00D151B9">
              <w:rPr>
                <w:b/>
              </w:rPr>
              <w:t xml:space="preserve"> </w:t>
            </w:r>
            <w:proofErr w:type="spellStart"/>
            <w:r w:rsidRPr="00D151B9">
              <w:rPr>
                <w:b/>
              </w:rPr>
              <w:t>предмети</w:t>
            </w:r>
            <w:proofErr w:type="spellEnd"/>
            <w:r w:rsidRPr="00D151B9">
              <w:rPr>
                <w:b/>
              </w:rPr>
              <w:t>.</w:t>
            </w:r>
          </w:p>
          <w:p w:rsidR="00D151B9" w:rsidRPr="00D151B9" w:rsidRDefault="00D151B9" w:rsidP="00D151B9">
            <w:pPr>
              <w:jc w:val="center"/>
              <w:rPr>
                <w:b/>
              </w:rPr>
            </w:pPr>
            <w:r w:rsidRPr="00D151B9">
              <w:rPr>
                <w:b/>
              </w:rPr>
              <w:t>(</w:t>
            </w:r>
            <w:proofErr w:type="spellStart"/>
            <w:r w:rsidRPr="00D151B9">
              <w:rPr>
                <w:b/>
              </w:rPr>
              <w:t>кількість</w:t>
            </w:r>
            <w:proofErr w:type="spellEnd"/>
            <w:r w:rsidRPr="00D151B9">
              <w:rPr>
                <w:b/>
              </w:rPr>
              <w:t xml:space="preserve"> годин на </w:t>
            </w:r>
            <w:proofErr w:type="spellStart"/>
            <w:r w:rsidRPr="00D151B9">
              <w:rPr>
                <w:b/>
              </w:rPr>
              <w:t>тиждень</w:t>
            </w:r>
            <w:proofErr w:type="spellEnd"/>
            <w:r w:rsidRPr="00D151B9">
              <w:rPr>
                <w:b/>
              </w:rPr>
              <w:t xml:space="preserve"> </w:t>
            </w:r>
            <w:proofErr w:type="spellStart"/>
            <w:r w:rsidRPr="00D151B9">
              <w:rPr>
                <w:b/>
              </w:rPr>
              <w:t>відповідно</w:t>
            </w:r>
            <w:proofErr w:type="spellEnd"/>
            <w:r w:rsidRPr="00D151B9">
              <w:rPr>
                <w:b/>
              </w:rPr>
              <w:t xml:space="preserve"> до </w:t>
            </w:r>
            <w:proofErr w:type="spellStart"/>
            <w:r w:rsidRPr="00D151B9">
              <w:rPr>
                <w:b/>
              </w:rPr>
              <w:t>навчальних</w:t>
            </w:r>
            <w:proofErr w:type="spellEnd"/>
            <w:r w:rsidRPr="00D151B9">
              <w:rPr>
                <w:b/>
              </w:rPr>
              <w:t xml:space="preserve"> </w:t>
            </w:r>
            <w:proofErr w:type="spellStart"/>
            <w:r w:rsidRPr="00D151B9">
              <w:rPr>
                <w:b/>
              </w:rPr>
              <w:t>планів</w:t>
            </w:r>
            <w:proofErr w:type="spellEnd"/>
            <w:r w:rsidRPr="00D151B9">
              <w:rPr>
                <w:b/>
              </w:rPr>
              <w:t xml:space="preserve"> до </w:t>
            </w:r>
            <w:proofErr w:type="spellStart"/>
            <w:r w:rsidRPr="00D151B9">
              <w:rPr>
                <w:b/>
              </w:rPr>
              <w:t>типових</w:t>
            </w:r>
            <w:proofErr w:type="spellEnd"/>
            <w:r w:rsidRPr="00D151B9">
              <w:rPr>
                <w:b/>
              </w:rPr>
              <w:t xml:space="preserve"> </w:t>
            </w:r>
            <w:proofErr w:type="spellStart"/>
            <w:r w:rsidRPr="00D151B9">
              <w:rPr>
                <w:b/>
              </w:rPr>
              <w:t>освітніх</w:t>
            </w:r>
            <w:proofErr w:type="spellEnd"/>
            <w:r w:rsidRPr="00D151B9">
              <w:rPr>
                <w:b/>
              </w:rPr>
              <w:t xml:space="preserve"> </w:t>
            </w:r>
            <w:proofErr w:type="spellStart"/>
            <w:r w:rsidRPr="00D151B9">
              <w:rPr>
                <w:b/>
              </w:rPr>
              <w:t>програм</w:t>
            </w:r>
            <w:proofErr w:type="spellEnd"/>
            <w:r w:rsidRPr="00D151B9">
              <w:rPr>
                <w:b/>
              </w:rPr>
              <w:t>)</w:t>
            </w: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Природознавство</w:t>
            </w:r>
            <w:proofErr w:type="spellEnd"/>
            <w:r w:rsidRPr="00D151B9">
              <w:t xml:space="preserve"> </w:t>
            </w: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rPr>
          <w:trHeight w:val="142"/>
        </w:trPr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Біологія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Географія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Біологія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Географія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Фізика</w:t>
            </w:r>
            <w:proofErr w:type="spellEnd"/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Хімія</w:t>
            </w:r>
            <w:proofErr w:type="spellEnd"/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Біологія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Географія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Фізика</w:t>
            </w:r>
            <w:proofErr w:type="spellEnd"/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Хімія</w:t>
            </w:r>
            <w:proofErr w:type="spellEnd"/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Біологія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Географія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Фізика</w:t>
            </w:r>
            <w:proofErr w:type="spellEnd"/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Хімія</w:t>
            </w:r>
            <w:proofErr w:type="spellEnd"/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Природничі</w:t>
            </w:r>
            <w:proofErr w:type="spellEnd"/>
            <w:r w:rsidRPr="00D151B9">
              <w:t xml:space="preserve"> науки</w:t>
            </w:r>
          </w:p>
          <w:p w:rsidR="00D151B9" w:rsidRPr="00D151B9" w:rsidRDefault="00D151B9" w:rsidP="00D151B9">
            <w:pPr>
              <w:jc w:val="center"/>
            </w:pPr>
            <w:r w:rsidRPr="00D151B9">
              <w:t>(</w:t>
            </w:r>
            <w:proofErr w:type="spellStart"/>
            <w:r w:rsidRPr="00D151B9">
              <w:t>експериментальний</w:t>
            </w:r>
            <w:proofErr w:type="spellEnd"/>
            <w:r w:rsidRPr="00D151B9">
              <w:t xml:space="preserve"> </w:t>
            </w:r>
            <w:proofErr w:type="spellStart"/>
            <w:r w:rsidRPr="00D151B9">
              <w:t>інтегрований</w:t>
            </w:r>
            <w:proofErr w:type="spellEnd"/>
            <w:r w:rsidRPr="00D151B9">
              <w:t xml:space="preserve"> курс)</w:t>
            </w: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Біологія</w:t>
            </w:r>
            <w:proofErr w:type="spellEnd"/>
            <w:r w:rsidRPr="00D151B9">
              <w:t xml:space="preserve"> і </w:t>
            </w:r>
            <w:proofErr w:type="spellStart"/>
            <w:r w:rsidRPr="00D151B9">
              <w:t>екологія</w:t>
            </w:r>
            <w:proofErr w:type="spellEnd"/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Географія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Фізика</w:t>
            </w:r>
            <w:proofErr w:type="spellEnd"/>
            <w:r w:rsidRPr="00D151B9">
              <w:t xml:space="preserve"> і </w:t>
            </w:r>
            <w:proofErr w:type="spellStart"/>
            <w:r w:rsidRPr="00D151B9">
              <w:t>астрономія</w:t>
            </w:r>
            <w:proofErr w:type="spellEnd"/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Хімія</w:t>
            </w:r>
            <w:proofErr w:type="spellEnd"/>
          </w:p>
        </w:tc>
        <w:tc>
          <w:tcPr>
            <w:tcW w:w="851" w:type="dxa"/>
            <w:gridSpan w:val="2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099" w:type="dxa"/>
          </w:tcPr>
          <w:p w:rsidR="00D151B9" w:rsidRPr="00D151B9" w:rsidRDefault="00D151B9" w:rsidP="00D151B9">
            <w:pPr>
              <w:jc w:val="center"/>
            </w:pPr>
          </w:p>
        </w:tc>
      </w:tr>
      <w:tr w:rsidR="00D151B9" w:rsidRPr="00D151B9" w:rsidTr="00B949D8">
        <w:tc>
          <w:tcPr>
            <w:tcW w:w="720" w:type="dxa"/>
          </w:tcPr>
          <w:p w:rsidR="00D151B9" w:rsidRPr="00D151B9" w:rsidRDefault="00D151B9" w:rsidP="00D151B9">
            <w:pPr>
              <w:jc w:val="center"/>
              <w:rPr>
                <w:b/>
                <w:sz w:val="28"/>
                <w:szCs w:val="28"/>
              </w:rPr>
            </w:pPr>
            <w:r w:rsidRPr="00D151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99" w:type="dxa"/>
          </w:tcPr>
          <w:p w:rsidR="00D151B9" w:rsidRPr="00D151B9" w:rsidRDefault="00D151B9" w:rsidP="00D151B9">
            <w:pPr>
              <w:jc w:val="center"/>
            </w:pPr>
          </w:p>
        </w:tc>
        <w:tc>
          <w:tcPr>
            <w:tcW w:w="130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Біологія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Географія</w:t>
            </w:r>
            <w:proofErr w:type="spellEnd"/>
            <w:r w:rsidRPr="00D151B9">
              <w:t xml:space="preserve"> </w:t>
            </w:r>
          </w:p>
        </w:tc>
        <w:tc>
          <w:tcPr>
            <w:tcW w:w="1276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Фізика</w:t>
            </w:r>
            <w:proofErr w:type="spellEnd"/>
          </w:p>
        </w:tc>
        <w:tc>
          <w:tcPr>
            <w:tcW w:w="850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Хімія</w:t>
            </w:r>
            <w:proofErr w:type="spellEnd"/>
          </w:p>
        </w:tc>
        <w:tc>
          <w:tcPr>
            <w:tcW w:w="833" w:type="dxa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Еко</w:t>
            </w:r>
            <w:proofErr w:type="spellEnd"/>
          </w:p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логія</w:t>
            </w:r>
            <w:proofErr w:type="spellEnd"/>
          </w:p>
        </w:tc>
        <w:tc>
          <w:tcPr>
            <w:tcW w:w="1117" w:type="dxa"/>
            <w:gridSpan w:val="2"/>
          </w:tcPr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Астро</w:t>
            </w:r>
            <w:proofErr w:type="spellEnd"/>
          </w:p>
          <w:p w:rsidR="00D151B9" w:rsidRPr="00D151B9" w:rsidRDefault="00D151B9" w:rsidP="00D151B9">
            <w:pPr>
              <w:jc w:val="center"/>
            </w:pPr>
            <w:proofErr w:type="spellStart"/>
            <w:r w:rsidRPr="00D151B9">
              <w:t>номія</w:t>
            </w:r>
            <w:proofErr w:type="spellEnd"/>
          </w:p>
        </w:tc>
      </w:tr>
    </w:tbl>
    <w:p w:rsidR="00D151B9" w:rsidRPr="00D151B9" w:rsidRDefault="00D151B9" w:rsidP="00D151B9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Зміст освіти і вимоги до його засвоєння у старшій школі диференціюються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 10 класі за двома рівнями: стандарту і профільному; в 11 класі – за трьома рівнями: стандарту, академічному, профільному.  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Оновлення умов для навчання старшокласників відповідно до їхнього професійного самовизначення має забезпечуватися за рахунок змін у цілях, змісті, структурі та організації навчального процесу, </w:t>
      </w:r>
      <w:proofErr w:type="spellStart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різнорівневості</w:t>
      </w:r>
      <w:proofErr w:type="spellEnd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вимог до навчальних результатів учнів, урізноманітненні форм і методів профільного навчання. За цим принципом розроблено новий типовий навчальний план для 10-11 класів закладів освіти. Ним визначено механізм складання власного навчального плану для закладів загальної середньої освіти шляхом вибору профільних предметів, а також спеціальних курсів, факультативів, індивідуальних занять, що разом з базовими і вибірково-обов’язковими предметами визначає профіль навчання. Ефективність організації профільного навчання залежить від наявності умов для вільного вибору предметів навчання та рівнів оволодіння ними. Тому навчальний план окрім переліку традиційних предметів і курсів містить нові – інтегровані курси, які мають статус експериментальних. Серед них – </w:t>
      </w:r>
      <w:r w:rsidRPr="00D151B9"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інтегрований курс «Природничі науки»,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який призначений для тих учнів, для яких природничі предмети не є профільними.</w:t>
      </w: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sz w:val="28"/>
          <w:szCs w:val="28"/>
          <w:lang w:eastAsia="ru-RU"/>
        </w:rPr>
      </w:pPr>
      <w:bookmarkStart w:id="8" w:name="n189"/>
      <w:bookmarkEnd w:id="8"/>
      <w:r w:rsidRPr="00D151B9">
        <w:rPr>
          <w:rFonts w:eastAsia="Times New Roman"/>
          <w:sz w:val="28"/>
          <w:szCs w:val="28"/>
          <w:lang w:eastAsia="ru-RU"/>
        </w:rPr>
        <w:t xml:space="preserve">Навчальним планом до Типової освітньої програми закладів загальної середньої освіти </w:t>
      </w:r>
      <w:r w:rsidRPr="00D151B9">
        <w:rPr>
          <w:rFonts w:eastAsia="Times New Roman"/>
          <w:sz w:val="28"/>
          <w:szCs w:val="28"/>
          <w:lang w:val="ru-RU" w:eastAsia="ru-RU"/>
        </w:rPr>
        <w:t>II</w:t>
      </w:r>
      <w:r w:rsidRPr="00D151B9">
        <w:rPr>
          <w:rFonts w:eastAsia="Times New Roman"/>
          <w:sz w:val="28"/>
          <w:szCs w:val="28"/>
          <w:lang w:eastAsia="ru-RU"/>
        </w:rPr>
        <w:t>І ступеня, затвердженої наказом МОН України від 20.04.2018 № 408, на вивчення цього курсу передбачено 4 години на тиждень. Викладати курс «Природничі науки» можуть вчителі, які викладають предмети «Фізика», «Біологія», «Хімія», «Географія». Передбачається, що весь курс викладає один вчитель.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наказу Міністерства освіти і науки України від 23.10.2017 № 1407 «Про надання грифу МОН навчальним програмам для учнів 10-11 класів закладів загальної середньої освіти» заплановано експериментальне впровадження в закладах загальної середньої освіти інтегрованого курсу «Природничі науки». До експериментального впровадження підготовлено 4 проекти навчальних програм інтегрованого курсу «Природничі науки»: 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1 – «Природничі науки» для 10-11 класів гуманітарного профілю загальноосвітніх навчальних закладів. Інтегрований курс 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Дьоміна І. О.,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Задоянний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В. А., Костик С. І.); 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2 – «Природничі науки» 10-11 клас. Інтегрований курс 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Засєкіна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Т. М.,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Буняк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М. М.,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Бухтіяров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В. К., Григорович О. В.,        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Капіруліна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С. Л.,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Козленко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О. Г.,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Нюкало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Т. Г.,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Семененко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І. Б.,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Сокол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Т. К.,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Шабанов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Д. А.,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Шагієва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Р. Р.);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3 – «Природничі науки. Минуле, сучасне та можливе майбутнє людства і біосфери» для 10-11 класів 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Шабанов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 .А.,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Козленко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О. Г.);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4 – «Природознавство» 10-11 класи </w:t>
      </w:r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Ільченко В. Р., Булава Л. М.,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Гринюк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О. С., </w:t>
      </w:r>
      <w:proofErr w:type="spellStart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Гуз</w:t>
      </w:r>
      <w:proofErr w:type="spellEnd"/>
      <w:r w:rsidRPr="00D151B9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К. Ж., Ільченко О. Г., Коваленко В. С., Ляшенко А. Х.).</w:t>
      </w:r>
    </w:p>
    <w:p w:rsidR="00D151B9" w:rsidRPr="00D151B9" w:rsidRDefault="00D151B9" w:rsidP="00D151B9">
      <w:pPr>
        <w:spacing w:after="0" w:line="240" w:lineRule="auto"/>
        <w:ind w:right="675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Кожна програма по-своєму реалізує змістові лінії Державного стандарту, об’єднуючи питання окремих компонентів галузі (</w:t>
      </w:r>
      <w:proofErr w:type="spellStart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загальноприродничого</w:t>
      </w:r>
      <w:proofErr w:type="spellEnd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біологічного, екологічного, астрономічного, фізичного, хімічного та географічного) в розділи і теми. Таким чином реалізуються різні підходи щодо інтеграції, наприклад: особливості пояснення природних явищ та технологічних процесів з позицій кожної з природничих наук (проекти № 1 і 2), причинно-наслідкові зв’язки, що зумовили сучасний спосіб життя людства та їх вплив на можливе майбутнє (проект № 3), модульний підхід (проект № 4),  у якому компоненти освітньої галузі «Природознавство» (модулі) інтегруються в природничо-наукову картину світу на основі загальних закономірностей природи та природничих ідей.  У той же час усі програми інтегрованого курсу «Природничі науки» визначають природничу освіту як елемент культури кожної людини, сприяють усвідомленню практичного застосування досягнень природничих наук, їх роль у розвитку цивілізації. Вивчення курсу базується на знаннях і </w:t>
      </w:r>
      <w:proofErr w:type="spellStart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компетентностях</w:t>
      </w:r>
      <w:proofErr w:type="spellEnd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набутих учнями в основній школі і спрямоване на подальше формування їхнього світогляду, розширення розуміння широкого спектру наукових ідей астрономії, біології, географії, екології, фізики і хімії в цілісному пізнанні природи, розвиток розумово-пізнавальних і творчих якостей, рівень яких визначає конкурентну спроможність на сучасному ринку праці: здатність і готовність до розв’язання комплексних задач (проблем), критичного мислення, творчості, когнітивної гнучкості, співпраці, управління, здійснення інноваційної діяльності.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Експериментальне впровадження інтегрованого курсу буде </w:t>
      </w:r>
      <w:proofErr w:type="spellStart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здійснюватись</w:t>
      </w:r>
      <w:proofErr w:type="spellEnd"/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 базі закладів загальної середньої освіти, які подали заявку на участь в експерименті, Інституту педагогіки НАПН України, обласних інститутів післядипломної педагогічної освіти, Тернопільського національного педагогічного університету імені Володимира Гнатюка. </w:t>
      </w:r>
    </w:p>
    <w:p w:rsidR="00D151B9" w:rsidRPr="00D151B9" w:rsidRDefault="00D151B9" w:rsidP="00D151B9">
      <w:pPr>
        <w:spacing w:after="0" w:line="240" w:lineRule="auto"/>
        <w:ind w:right="675"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151B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Під час експериментального впровадження заплановано проектування і розроблення навчально-методичного забезпечення інтегрованого курсу «Природничі науки»; підготовка вчителів до впровадження курсу в освітню практику; здійснення експериментального навчання; забезпечення наставницької підтримки вчителів експериментальних закладів освіти; моніторинг ефективності результатів експерименту.</w:t>
      </w:r>
    </w:p>
    <w:p w:rsidR="00875B8B" w:rsidRDefault="00875B8B"/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9"/>
    <w:rsid w:val="00875B8B"/>
    <w:rsid w:val="00D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B77D8-FA3D-4503-8C82-EC18A5E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99"/>
    <w:rsid w:val="00D151B9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1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ua.sci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nlab.inhost.com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a.testportal.gov.ua/wp-content/uploads/2018/02/Science_PISA_UK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sa.testportal.gov.ua/" TargetMode="External"/><Relationship Id="rId10" Type="http://schemas.openxmlformats.org/officeDocument/2006/relationships/hyperlink" Target="http://www.imzo.gov.ua" TargetMode="External"/><Relationship Id="rId4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9" Type="http://schemas.openxmlformats.org/officeDocument/2006/relationships/hyperlink" Target="http://www.mon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9192</Words>
  <Characters>5241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2018-07-08T15:06:00Z</dcterms:created>
  <dcterms:modified xsi:type="dcterms:W3CDTF">2018-07-08T15:09:00Z</dcterms:modified>
</cp:coreProperties>
</file>